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831" w:rsidRPr="00CC7831" w:rsidRDefault="00CC7831" w:rsidP="00037472">
      <w:pPr>
        <w:spacing w:after="0"/>
        <w:rPr>
          <w:rFonts w:cs="Times New Roman"/>
          <w:szCs w:val="24"/>
        </w:rPr>
      </w:pPr>
    </w:p>
    <w:p w:rsidR="00CC7831" w:rsidRPr="00CC7831" w:rsidRDefault="00CC7831" w:rsidP="00037472">
      <w:pPr>
        <w:spacing w:after="0"/>
        <w:rPr>
          <w:rFonts w:cs="Times New Roman"/>
          <w:szCs w:val="24"/>
        </w:rPr>
      </w:pPr>
    </w:p>
    <w:p w:rsidR="00CC7831" w:rsidRPr="00CC7831" w:rsidRDefault="00CC7831" w:rsidP="00037472">
      <w:pPr>
        <w:spacing w:after="0"/>
        <w:rPr>
          <w:rFonts w:cs="Times New Roman"/>
          <w:szCs w:val="24"/>
        </w:rPr>
      </w:pPr>
    </w:p>
    <w:p w:rsidR="00CC7831" w:rsidRPr="00CC7831" w:rsidRDefault="00CC7831" w:rsidP="00037472">
      <w:pPr>
        <w:spacing w:after="0"/>
        <w:rPr>
          <w:rFonts w:cs="Times New Roman"/>
          <w:szCs w:val="24"/>
        </w:rPr>
      </w:pPr>
    </w:p>
    <w:p w:rsidR="00CC7831" w:rsidRPr="00CC7831" w:rsidRDefault="00CC7831" w:rsidP="00037472">
      <w:pPr>
        <w:spacing w:after="0"/>
        <w:rPr>
          <w:rFonts w:cs="Times New Roman"/>
          <w:szCs w:val="24"/>
        </w:rPr>
      </w:pPr>
    </w:p>
    <w:p w:rsidR="00CC7831" w:rsidRPr="00CC7831" w:rsidRDefault="00CC7831" w:rsidP="00037472">
      <w:pPr>
        <w:spacing w:after="0"/>
        <w:rPr>
          <w:rFonts w:cs="Times New Roman"/>
          <w:szCs w:val="24"/>
        </w:rPr>
      </w:pPr>
    </w:p>
    <w:p w:rsidR="00CC7831" w:rsidRPr="00CC7831" w:rsidRDefault="00CC7831" w:rsidP="00037472">
      <w:pPr>
        <w:spacing w:after="0"/>
        <w:rPr>
          <w:rFonts w:cs="Times New Roman"/>
          <w:szCs w:val="24"/>
        </w:rPr>
      </w:pPr>
    </w:p>
    <w:p w:rsidR="00CC7831" w:rsidRPr="00CC7831" w:rsidRDefault="00CC7831" w:rsidP="00037472">
      <w:pPr>
        <w:spacing w:after="0"/>
        <w:rPr>
          <w:rFonts w:cs="Times New Roman"/>
          <w:szCs w:val="24"/>
        </w:rPr>
      </w:pPr>
    </w:p>
    <w:p w:rsidR="00CC7831" w:rsidRPr="00CC7831" w:rsidRDefault="00CC7831" w:rsidP="00037472">
      <w:pPr>
        <w:spacing w:after="0"/>
        <w:rPr>
          <w:rFonts w:cs="Times New Roman"/>
          <w:szCs w:val="24"/>
        </w:rPr>
      </w:pPr>
    </w:p>
    <w:p w:rsidR="00CC7831" w:rsidRPr="00CC7831" w:rsidRDefault="00CC7831" w:rsidP="00037472">
      <w:pPr>
        <w:spacing w:after="0"/>
        <w:jc w:val="center"/>
        <w:rPr>
          <w:rFonts w:cs="Times New Roman"/>
          <w:szCs w:val="24"/>
        </w:rPr>
      </w:pPr>
      <w:r w:rsidRPr="00CC7831">
        <w:rPr>
          <w:rFonts w:cs="Times New Roman"/>
          <w:szCs w:val="24"/>
        </w:rPr>
        <w:t>Tort Liabilities in Business</w:t>
      </w:r>
    </w:p>
    <w:p w:rsidR="00CC7831" w:rsidRPr="00CC7831" w:rsidRDefault="00CC7831" w:rsidP="00037472">
      <w:pPr>
        <w:spacing w:after="0"/>
        <w:jc w:val="center"/>
        <w:rPr>
          <w:rFonts w:cs="Times New Roman"/>
          <w:szCs w:val="24"/>
        </w:rPr>
      </w:pPr>
      <w:r w:rsidRPr="00CC7831">
        <w:rPr>
          <w:rFonts w:cs="Times New Roman"/>
          <w:szCs w:val="24"/>
        </w:rPr>
        <w:t>Name of Student</w:t>
      </w:r>
    </w:p>
    <w:p w:rsidR="00CC7831" w:rsidRPr="00CC7831" w:rsidRDefault="00CC7831" w:rsidP="00037472">
      <w:pPr>
        <w:spacing w:after="0"/>
        <w:jc w:val="center"/>
        <w:rPr>
          <w:rFonts w:cs="Times New Roman"/>
          <w:szCs w:val="24"/>
        </w:rPr>
      </w:pPr>
      <w:r w:rsidRPr="00CC7831">
        <w:rPr>
          <w:rFonts w:cs="Times New Roman"/>
          <w:szCs w:val="24"/>
        </w:rPr>
        <w:t>Name of Institution</w:t>
      </w:r>
    </w:p>
    <w:p w:rsidR="00CC7831" w:rsidRPr="00CC7831" w:rsidRDefault="00CC7831" w:rsidP="00037472">
      <w:pPr>
        <w:spacing w:after="0"/>
        <w:jc w:val="center"/>
        <w:rPr>
          <w:rFonts w:cs="Times New Roman"/>
          <w:szCs w:val="24"/>
        </w:rPr>
      </w:pPr>
      <w:r w:rsidRPr="00CC7831">
        <w:rPr>
          <w:rFonts w:cs="Times New Roman"/>
          <w:szCs w:val="24"/>
        </w:rPr>
        <w:t>Date</w:t>
      </w:r>
      <w:r w:rsidRPr="00CC7831">
        <w:rPr>
          <w:rFonts w:cs="Times New Roman"/>
          <w:szCs w:val="24"/>
        </w:rPr>
        <w:br w:type="page"/>
      </w:r>
    </w:p>
    <w:p w:rsidR="00037472" w:rsidRPr="00CC7831" w:rsidRDefault="00037472" w:rsidP="00037472">
      <w:pPr>
        <w:spacing w:after="0"/>
        <w:jc w:val="center"/>
        <w:rPr>
          <w:rFonts w:cs="Times New Roman"/>
          <w:szCs w:val="24"/>
        </w:rPr>
      </w:pPr>
      <w:r w:rsidRPr="00CC7831">
        <w:rPr>
          <w:rFonts w:cs="Times New Roman"/>
          <w:szCs w:val="24"/>
        </w:rPr>
        <w:lastRenderedPageBreak/>
        <w:t>Tort Liabilities in Busin</w:t>
      </w:r>
      <w:bookmarkStart w:id="0" w:name="_GoBack"/>
      <w:bookmarkEnd w:id="0"/>
      <w:r w:rsidRPr="00CC7831">
        <w:rPr>
          <w:rFonts w:cs="Times New Roman"/>
          <w:szCs w:val="24"/>
        </w:rPr>
        <w:t>ess</w:t>
      </w:r>
    </w:p>
    <w:p w:rsidR="00BD3411" w:rsidRPr="00CC7831" w:rsidRDefault="00BD3411" w:rsidP="00037472">
      <w:pPr>
        <w:spacing w:after="0"/>
        <w:ind w:firstLine="720"/>
        <w:jc w:val="both"/>
        <w:rPr>
          <w:rFonts w:cs="Times New Roman"/>
          <w:szCs w:val="24"/>
        </w:rPr>
      </w:pPr>
      <w:r w:rsidRPr="00CC7831">
        <w:rPr>
          <w:rFonts w:cs="Times New Roman"/>
          <w:szCs w:val="24"/>
        </w:rPr>
        <w:t>Law jurisdictions define a tort as a civil wrong that causes a plaintiff to suffer loss or harm, which is recognized by the law</w:t>
      </w:r>
      <w:r w:rsidR="00AD149C" w:rsidRPr="00CC7831">
        <w:rPr>
          <w:rFonts w:cs="Times New Roman"/>
          <w:szCs w:val="24"/>
        </w:rPr>
        <w:t xml:space="preserve">, thus creating a situation where the claimant can sue for damages from the person causing the civil wrong. These laws are specifically set intended to compensate the plaintiff. From the description of the activities of Thrifty Foods, the following situations and actions may make the facility liable </w:t>
      </w:r>
      <w:r w:rsidR="00CC7831" w:rsidRPr="00CC7831">
        <w:rPr>
          <w:rFonts w:cs="Times New Roman"/>
          <w:szCs w:val="24"/>
        </w:rPr>
        <w:t xml:space="preserve">for damages under the tort laws </w:t>
      </w:r>
      <w:sdt>
        <w:sdtPr>
          <w:rPr>
            <w:rFonts w:cs="Times New Roman"/>
            <w:szCs w:val="24"/>
          </w:rPr>
          <w:id w:val="-34661824"/>
          <w:citation/>
        </w:sdtPr>
        <w:sdtEndPr/>
        <w:sdtContent>
          <w:r w:rsidR="00CC7831" w:rsidRPr="00CC7831">
            <w:rPr>
              <w:rFonts w:cs="Times New Roman"/>
              <w:szCs w:val="24"/>
            </w:rPr>
            <w:fldChar w:fldCharType="begin"/>
          </w:r>
          <w:r w:rsidR="00CC7831" w:rsidRPr="00CC7831">
            <w:rPr>
              <w:rFonts w:cs="Times New Roman"/>
              <w:szCs w:val="24"/>
            </w:rPr>
            <w:instrText xml:space="preserve"> CITATION Gue19 \l 1033 </w:instrText>
          </w:r>
          <w:r w:rsidR="00CC7831" w:rsidRPr="00CC7831">
            <w:rPr>
              <w:rFonts w:cs="Times New Roman"/>
              <w:szCs w:val="24"/>
            </w:rPr>
            <w:fldChar w:fldCharType="separate"/>
          </w:r>
          <w:r w:rsidR="00CC7831" w:rsidRPr="00CC7831">
            <w:rPr>
              <w:rFonts w:cs="Times New Roman"/>
              <w:noProof/>
              <w:szCs w:val="24"/>
            </w:rPr>
            <w:t>(Gueli, 2019)</w:t>
          </w:r>
          <w:r w:rsidR="00CC7831" w:rsidRPr="00CC7831">
            <w:rPr>
              <w:rFonts w:cs="Times New Roman"/>
              <w:szCs w:val="24"/>
            </w:rPr>
            <w:fldChar w:fldCharType="end"/>
          </w:r>
        </w:sdtContent>
      </w:sdt>
      <w:r w:rsidR="00CC7831" w:rsidRPr="00CC7831">
        <w:rPr>
          <w:rFonts w:cs="Times New Roman"/>
          <w:szCs w:val="24"/>
        </w:rPr>
        <w:t>:</w:t>
      </w:r>
    </w:p>
    <w:p w:rsidR="00BF326E" w:rsidRPr="00CC7831" w:rsidRDefault="00BF326E" w:rsidP="00037472">
      <w:pPr>
        <w:pStyle w:val="ListParagraph"/>
        <w:numPr>
          <w:ilvl w:val="0"/>
          <w:numId w:val="1"/>
        </w:numPr>
        <w:spacing w:after="0"/>
        <w:jc w:val="both"/>
        <w:rPr>
          <w:rFonts w:cs="Times New Roman"/>
          <w:szCs w:val="24"/>
        </w:rPr>
      </w:pPr>
      <w:r w:rsidRPr="00CC7831">
        <w:rPr>
          <w:rFonts w:cs="Times New Roman"/>
          <w:szCs w:val="24"/>
        </w:rPr>
        <w:t>Thrifty Foods operates with three full-time employees inclusive of the store manager. The rest of the employees are part-timers who are interviewed for five minutes and training takes place only when there is time. The store manager has a duty to exercise reasonable care and protect individuals coming onto the property. Short interviews and probable lack of training exposes clients to reasonable harm and thus the enterprise is liable for negligence.</w:t>
      </w:r>
    </w:p>
    <w:p w:rsidR="00BF326E" w:rsidRPr="00CC7831" w:rsidRDefault="00BF326E" w:rsidP="00037472">
      <w:pPr>
        <w:pStyle w:val="ListParagraph"/>
        <w:numPr>
          <w:ilvl w:val="0"/>
          <w:numId w:val="1"/>
        </w:numPr>
        <w:spacing w:after="0"/>
        <w:jc w:val="both"/>
        <w:rPr>
          <w:rFonts w:cs="Times New Roman"/>
          <w:szCs w:val="24"/>
        </w:rPr>
      </w:pPr>
      <w:r w:rsidRPr="00CC7831">
        <w:rPr>
          <w:rFonts w:cs="Times New Roman"/>
          <w:szCs w:val="24"/>
        </w:rPr>
        <w:t xml:space="preserve">The business requires its employees to report at 7am and close at 10pm thus overworking its employees well beyond the acceptable limits of 9 working hours. </w:t>
      </w:r>
      <w:r w:rsidR="00094D88" w:rsidRPr="00CC7831">
        <w:rPr>
          <w:rFonts w:cs="Times New Roman"/>
          <w:szCs w:val="24"/>
        </w:rPr>
        <w:t xml:space="preserve">This is a deliberate act in the functioning of the enterprise, making Thrifty Foods liable for intentional infliction of emotional distress. </w:t>
      </w:r>
    </w:p>
    <w:p w:rsidR="00094D88" w:rsidRPr="00CC7831" w:rsidRDefault="00094D88" w:rsidP="00037472">
      <w:pPr>
        <w:pStyle w:val="ListParagraph"/>
        <w:numPr>
          <w:ilvl w:val="0"/>
          <w:numId w:val="1"/>
        </w:numPr>
        <w:spacing w:after="0"/>
        <w:jc w:val="both"/>
        <w:rPr>
          <w:rFonts w:cs="Times New Roman"/>
          <w:szCs w:val="24"/>
        </w:rPr>
      </w:pPr>
      <w:r w:rsidRPr="00CC7831">
        <w:rPr>
          <w:rFonts w:cs="Times New Roman"/>
          <w:szCs w:val="24"/>
        </w:rPr>
        <w:t xml:space="preserve">The store manager does not inspect the aisles or displays prior to opening. The business does not have procedures requiring the employees to the aisles and the displays. Lack of inspection makes the enterprise probably liable to negligence of duty tort, since </w:t>
      </w:r>
      <w:r w:rsidR="00CC7831" w:rsidRPr="00CC7831">
        <w:rPr>
          <w:rFonts w:cs="Times New Roman"/>
          <w:szCs w:val="24"/>
        </w:rPr>
        <w:t>operations do</w:t>
      </w:r>
      <w:r w:rsidRPr="00CC7831">
        <w:rPr>
          <w:rFonts w:cs="Times New Roman"/>
          <w:szCs w:val="24"/>
        </w:rPr>
        <w:t xml:space="preserve"> not provide for its employees functions to act in a reasonable manner.</w:t>
      </w:r>
    </w:p>
    <w:p w:rsidR="00094D88" w:rsidRPr="00CC7831" w:rsidRDefault="00094D88" w:rsidP="00037472">
      <w:pPr>
        <w:pStyle w:val="ListParagraph"/>
        <w:numPr>
          <w:ilvl w:val="0"/>
          <w:numId w:val="1"/>
        </w:numPr>
        <w:spacing w:after="0"/>
        <w:jc w:val="both"/>
        <w:rPr>
          <w:rFonts w:cs="Times New Roman"/>
          <w:szCs w:val="24"/>
        </w:rPr>
      </w:pPr>
      <w:r w:rsidRPr="00CC7831">
        <w:rPr>
          <w:rFonts w:cs="Times New Roman"/>
          <w:szCs w:val="24"/>
        </w:rPr>
        <w:t xml:space="preserve">The concrete walkway that allows access to the store slopes down, slightly from the parking lot to the door. The </w:t>
      </w:r>
      <w:r w:rsidR="007B4CE0" w:rsidRPr="00CC7831">
        <w:rPr>
          <w:rFonts w:cs="Times New Roman"/>
          <w:szCs w:val="24"/>
        </w:rPr>
        <w:t>slope presents as a high risks to persons entering the facility, and in the case of an incident, reasonable care may not be adequately eliminate the danger posed. The slope makes the facility liable for strict liability, under abnormally dangerous activity.</w:t>
      </w:r>
    </w:p>
    <w:p w:rsidR="007B4CE0" w:rsidRPr="00CC7831" w:rsidRDefault="007B4CE0" w:rsidP="00037472">
      <w:pPr>
        <w:pStyle w:val="ListParagraph"/>
        <w:numPr>
          <w:ilvl w:val="0"/>
          <w:numId w:val="1"/>
        </w:numPr>
        <w:spacing w:after="0"/>
        <w:jc w:val="both"/>
        <w:rPr>
          <w:rFonts w:cs="Times New Roman"/>
          <w:szCs w:val="24"/>
        </w:rPr>
      </w:pPr>
      <w:r w:rsidRPr="00CC7831">
        <w:rPr>
          <w:rFonts w:cs="Times New Roman"/>
          <w:szCs w:val="24"/>
        </w:rPr>
        <w:lastRenderedPageBreak/>
        <w:t>The water that collects in the front of the door of Thrifty Foods due to the slope presents negligent tort under owner-occupier liability. The water accumulation at the front of the store may cause probable dangers to the clients accessing the store in future and as such the facility should engage in actions that target to make precautions or repair the drain to eliminate the threat caused. Failure to rectify or create notices to warn the clients creates the liability for the facility.</w:t>
      </w:r>
    </w:p>
    <w:p w:rsidR="007B4CE0" w:rsidRPr="00CC7831" w:rsidRDefault="007B4CE0" w:rsidP="00037472">
      <w:pPr>
        <w:pStyle w:val="ListParagraph"/>
        <w:numPr>
          <w:ilvl w:val="0"/>
          <w:numId w:val="1"/>
        </w:numPr>
        <w:spacing w:after="0"/>
        <w:jc w:val="both"/>
        <w:rPr>
          <w:rFonts w:cs="Times New Roman"/>
          <w:szCs w:val="24"/>
        </w:rPr>
      </w:pPr>
      <w:r w:rsidRPr="00CC7831">
        <w:rPr>
          <w:rFonts w:cs="Times New Roman"/>
          <w:szCs w:val="24"/>
        </w:rPr>
        <w:t xml:space="preserve">Thrifty Foods has no security cameras in the store or the parking lot. Security cameras are critical in </w:t>
      </w:r>
      <w:r w:rsidR="006F5355" w:rsidRPr="00CC7831">
        <w:rPr>
          <w:rFonts w:cs="Times New Roman"/>
          <w:szCs w:val="24"/>
        </w:rPr>
        <w:t xml:space="preserve">surveillance, solving disputes, as a source of evidence </w:t>
      </w:r>
      <w:r w:rsidRPr="00CC7831">
        <w:rPr>
          <w:rFonts w:cs="Times New Roman"/>
          <w:szCs w:val="24"/>
        </w:rPr>
        <w:t xml:space="preserve">and reducing the threat of theft cases. In </w:t>
      </w:r>
      <w:r w:rsidR="006F5355" w:rsidRPr="00CC7831">
        <w:rPr>
          <w:rFonts w:cs="Times New Roman"/>
          <w:szCs w:val="24"/>
        </w:rPr>
        <w:t>future, any incident such a dispute and theft that may require the business records for arbitrary services would prove inefficiency of the facility making Thrifty Foods liable to premise liability</w:t>
      </w:r>
      <w:r w:rsidR="00CC7831" w:rsidRPr="00CC7831">
        <w:rPr>
          <w:rFonts w:cs="Times New Roman"/>
          <w:szCs w:val="24"/>
        </w:rPr>
        <w:t xml:space="preserve"> </w:t>
      </w:r>
      <w:sdt>
        <w:sdtPr>
          <w:rPr>
            <w:rFonts w:cs="Times New Roman"/>
            <w:szCs w:val="24"/>
          </w:rPr>
          <w:id w:val="1636912912"/>
          <w:citation/>
        </w:sdtPr>
        <w:sdtEndPr/>
        <w:sdtContent>
          <w:r w:rsidR="00CC7831" w:rsidRPr="00CC7831">
            <w:rPr>
              <w:rFonts w:cs="Times New Roman"/>
              <w:szCs w:val="24"/>
            </w:rPr>
            <w:fldChar w:fldCharType="begin"/>
          </w:r>
          <w:r w:rsidR="00CC7831" w:rsidRPr="00CC7831">
            <w:rPr>
              <w:rFonts w:cs="Times New Roman"/>
              <w:szCs w:val="24"/>
            </w:rPr>
            <w:instrText xml:space="preserve"> CITATION Joh15 \l 1033 </w:instrText>
          </w:r>
          <w:r w:rsidR="00CC7831" w:rsidRPr="00CC7831">
            <w:rPr>
              <w:rFonts w:cs="Times New Roman"/>
              <w:szCs w:val="24"/>
            </w:rPr>
            <w:fldChar w:fldCharType="separate"/>
          </w:r>
          <w:r w:rsidR="00CC7831" w:rsidRPr="00CC7831">
            <w:rPr>
              <w:rFonts w:cs="Times New Roman"/>
              <w:noProof/>
              <w:szCs w:val="24"/>
            </w:rPr>
            <w:t>(Johnson, 2015)</w:t>
          </w:r>
          <w:r w:rsidR="00CC7831" w:rsidRPr="00CC7831">
            <w:rPr>
              <w:rFonts w:cs="Times New Roman"/>
              <w:szCs w:val="24"/>
            </w:rPr>
            <w:fldChar w:fldCharType="end"/>
          </w:r>
        </w:sdtContent>
      </w:sdt>
      <w:r w:rsidR="006F5355" w:rsidRPr="00CC7831">
        <w:rPr>
          <w:rFonts w:cs="Times New Roman"/>
          <w:szCs w:val="24"/>
        </w:rPr>
        <w:t>.</w:t>
      </w:r>
    </w:p>
    <w:p w:rsidR="00CC7831" w:rsidRPr="00CC7831" w:rsidRDefault="00BD3411" w:rsidP="00037472">
      <w:pPr>
        <w:pStyle w:val="ListParagraph"/>
        <w:numPr>
          <w:ilvl w:val="0"/>
          <w:numId w:val="1"/>
        </w:numPr>
        <w:spacing w:after="0"/>
        <w:jc w:val="both"/>
        <w:rPr>
          <w:rFonts w:cs="Times New Roman"/>
          <w:szCs w:val="24"/>
        </w:rPr>
      </w:pPr>
      <w:r w:rsidRPr="00CC7831">
        <w:rPr>
          <w:rFonts w:cs="Times New Roman"/>
          <w:szCs w:val="24"/>
        </w:rPr>
        <w:t>The facility does not have any full-time employees after 8pm, leaving all functions of the business to part-time employees. The recruiting process of the firm does not ensure that Thrifty Foods is fully aware of their part-time employee’s tendencies and behaviors, and as such not aware of the recommendations. The facility, thus, is not aware if the employees left at the facility can perform their duty as reasonable experts with greater knowledge and superior skills. The enterprise is thus a Tortfeasor of negligence tort under the duty of a professional. Any faulty acts by those employees in that specified duration of time when the full-time employees are not present within their scope of employment also create the chance for the facility to be sued for vicarious liability.</w:t>
      </w:r>
    </w:p>
    <w:p w:rsidR="00CC7831" w:rsidRPr="00CC7831" w:rsidRDefault="00CC7831" w:rsidP="00037472">
      <w:pPr>
        <w:spacing w:after="0"/>
        <w:rPr>
          <w:rFonts w:cs="Times New Roman"/>
          <w:szCs w:val="24"/>
        </w:rPr>
      </w:pPr>
      <w:r w:rsidRPr="00CC7831">
        <w:rPr>
          <w:rFonts w:cs="Times New Roman"/>
          <w:szCs w:val="24"/>
        </w:rPr>
        <w:br w:type="page"/>
      </w:r>
    </w:p>
    <w:sdt>
      <w:sdtPr>
        <w:rPr>
          <w:rFonts w:ascii="Times New Roman" w:eastAsiaTheme="minorHAnsi" w:hAnsi="Times New Roman" w:cs="Times New Roman"/>
          <w:b w:val="0"/>
          <w:bCs w:val="0"/>
          <w:color w:val="auto"/>
          <w:sz w:val="24"/>
          <w:szCs w:val="24"/>
          <w:lang w:eastAsia="en-US"/>
        </w:rPr>
        <w:id w:val="1888598484"/>
        <w:docPartObj>
          <w:docPartGallery w:val="Bibliographies"/>
          <w:docPartUnique/>
        </w:docPartObj>
      </w:sdtPr>
      <w:sdtEndPr/>
      <w:sdtContent>
        <w:p w:rsidR="00CC7831" w:rsidRPr="00CC7831" w:rsidRDefault="00CC7831" w:rsidP="00037472">
          <w:pPr>
            <w:pStyle w:val="Heading1"/>
            <w:spacing w:before="0" w:line="480" w:lineRule="auto"/>
            <w:jc w:val="center"/>
            <w:rPr>
              <w:rFonts w:ascii="Times New Roman" w:hAnsi="Times New Roman" w:cs="Times New Roman"/>
              <w:color w:val="auto"/>
              <w:sz w:val="24"/>
              <w:szCs w:val="24"/>
            </w:rPr>
          </w:pPr>
          <w:r w:rsidRPr="00CC7831">
            <w:rPr>
              <w:rFonts w:ascii="Times New Roman" w:hAnsi="Times New Roman" w:cs="Times New Roman"/>
              <w:color w:val="auto"/>
              <w:sz w:val="24"/>
              <w:szCs w:val="24"/>
            </w:rPr>
            <w:t>References</w:t>
          </w:r>
        </w:p>
        <w:sdt>
          <w:sdtPr>
            <w:rPr>
              <w:rFonts w:cs="Times New Roman"/>
              <w:szCs w:val="24"/>
            </w:rPr>
            <w:id w:val="111145805"/>
            <w:bibliography/>
          </w:sdtPr>
          <w:sdtEndPr/>
          <w:sdtContent>
            <w:p w:rsidR="00CC7831" w:rsidRPr="00CC7831" w:rsidRDefault="00CC7831" w:rsidP="00037472">
              <w:pPr>
                <w:pStyle w:val="Bibliography"/>
                <w:spacing w:after="0"/>
                <w:ind w:left="720" w:hanging="720"/>
                <w:rPr>
                  <w:rFonts w:cs="Times New Roman"/>
                  <w:noProof/>
                  <w:szCs w:val="24"/>
                </w:rPr>
              </w:pPr>
              <w:r w:rsidRPr="00CC7831">
                <w:rPr>
                  <w:rFonts w:cs="Times New Roman"/>
                  <w:szCs w:val="24"/>
                </w:rPr>
                <w:fldChar w:fldCharType="begin"/>
              </w:r>
              <w:r w:rsidRPr="00CC7831">
                <w:rPr>
                  <w:rFonts w:cs="Times New Roman"/>
                  <w:szCs w:val="24"/>
                </w:rPr>
                <w:instrText xml:space="preserve"> BIBLIOGRAPHY </w:instrText>
              </w:r>
              <w:r w:rsidRPr="00CC7831">
                <w:rPr>
                  <w:rFonts w:cs="Times New Roman"/>
                  <w:szCs w:val="24"/>
                </w:rPr>
                <w:fldChar w:fldCharType="separate"/>
              </w:r>
              <w:r w:rsidRPr="00CC7831">
                <w:rPr>
                  <w:rFonts w:cs="Times New Roman"/>
                  <w:noProof/>
                  <w:szCs w:val="24"/>
                </w:rPr>
                <w:t xml:space="preserve">Gueli, C. R. (2019, January 12). </w:t>
              </w:r>
              <w:r w:rsidRPr="00CC7831">
                <w:rPr>
                  <w:rFonts w:cs="Times New Roman"/>
                  <w:i/>
                  <w:iCs/>
                  <w:noProof/>
                  <w:szCs w:val="24"/>
                </w:rPr>
                <w:t>Protect Your Businss from Liability Claims With Smart Accident Prevention</w:t>
              </w:r>
              <w:r w:rsidRPr="00CC7831">
                <w:rPr>
                  <w:rFonts w:cs="Times New Roman"/>
                  <w:noProof/>
                  <w:szCs w:val="24"/>
                </w:rPr>
                <w:t>. Retrieved from Injury Claim Coach: https://www.injuryclaimcoach.com/avoid-business-liability.html</w:t>
              </w:r>
            </w:p>
            <w:p w:rsidR="00CC7831" w:rsidRPr="00CC7831" w:rsidRDefault="00CC7831" w:rsidP="00037472">
              <w:pPr>
                <w:pStyle w:val="Bibliography"/>
                <w:spacing w:after="0"/>
                <w:ind w:left="720" w:hanging="720"/>
                <w:rPr>
                  <w:rFonts w:cs="Times New Roman"/>
                  <w:noProof/>
                  <w:szCs w:val="24"/>
                </w:rPr>
              </w:pPr>
              <w:r w:rsidRPr="00CC7831">
                <w:rPr>
                  <w:rFonts w:cs="Times New Roman"/>
                  <w:noProof/>
                  <w:szCs w:val="24"/>
                </w:rPr>
                <w:t xml:space="preserve">Johnson, A. C. (2015, April 13). </w:t>
              </w:r>
              <w:r w:rsidRPr="00CC7831">
                <w:rPr>
                  <w:rFonts w:cs="Times New Roman"/>
                  <w:i/>
                  <w:iCs/>
                  <w:noProof/>
                  <w:szCs w:val="24"/>
                </w:rPr>
                <w:t>What Every Business Owner Needs to Know About Premises Liability</w:t>
              </w:r>
              <w:r w:rsidRPr="00CC7831">
                <w:rPr>
                  <w:rFonts w:cs="Times New Roman"/>
                  <w:noProof/>
                  <w:szCs w:val="24"/>
                </w:rPr>
                <w:t>. Retrieved March 21, 2019, from Forbes: https://www.forbes.com/sites/theyec/2015/04/13/what-every-business-owner-needs-to-know-about-premises-liability/#2c7019877944</w:t>
              </w:r>
            </w:p>
            <w:p w:rsidR="00342A41" w:rsidRPr="00CC7831" w:rsidRDefault="00CC7831" w:rsidP="00037472">
              <w:pPr>
                <w:spacing w:after="0"/>
                <w:rPr>
                  <w:rFonts w:cs="Times New Roman"/>
                  <w:szCs w:val="24"/>
                </w:rPr>
              </w:pPr>
              <w:r w:rsidRPr="00CC7831">
                <w:rPr>
                  <w:rFonts w:cs="Times New Roman"/>
                  <w:b/>
                  <w:bCs/>
                  <w:noProof/>
                  <w:szCs w:val="24"/>
                </w:rPr>
                <w:fldChar w:fldCharType="end"/>
              </w:r>
            </w:p>
          </w:sdtContent>
        </w:sdt>
      </w:sdtContent>
    </w:sdt>
    <w:sectPr w:rsidR="00342A41" w:rsidRPr="00CC7831" w:rsidSect="00CC7831">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E12" w:rsidRDefault="005E6E12" w:rsidP="00CC7831">
      <w:pPr>
        <w:spacing w:after="0" w:line="240" w:lineRule="auto"/>
      </w:pPr>
      <w:r>
        <w:separator/>
      </w:r>
    </w:p>
  </w:endnote>
  <w:endnote w:type="continuationSeparator" w:id="0">
    <w:p w:rsidR="005E6E12" w:rsidRDefault="005E6E12" w:rsidP="00CC7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E12" w:rsidRDefault="005E6E12" w:rsidP="00CC7831">
      <w:pPr>
        <w:spacing w:after="0" w:line="240" w:lineRule="auto"/>
      </w:pPr>
      <w:r>
        <w:separator/>
      </w:r>
    </w:p>
  </w:footnote>
  <w:footnote w:type="continuationSeparator" w:id="0">
    <w:p w:rsidR="005E6E12" w:rsidRDefault="005E6E12" w:rsidP="00CC78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831" w:rsidRDefault="00CC7831">
    <w:pPr>
      <w:pStyle w:val="Header"/>
      <w:jc w:val="right"/>
    </w:pPr>
    <w:r>
      <w:t xml:space="preserve">TORT LIABILITIES </w:t>
    </w:r>
    <w:r>
      <w:tab/>
    </w:r>
    <w:r>
      <w:tab/>
    </w:r>
    <w:sdt>
      <w:sdtPr>
        <w:id w:val="-3408616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4227D">
          <w:rPr>
            <w:noProof/>
          </w:rPr>
          <w:t>2</w:t>
        </w:r>
        <w:r>
          <w:rPr>
            <w:noProof/>
          </w:rPr>
          <w:fldChar w:fldCharType="end"/>
        </w:r>
      </w:sdtContent>
    </w:sdt>
  </w:p>
  <w:p w:rsidR="00CC7831" w:rsidRDefault="00CC783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831" w:rsidRDefault="00CC7831">
    <w:pPr>
      <w:pStyle w:val="Header"/>
      <w:jc w:val="right"/>
    </w:pPr>
    <w:r>
      <w:t>Running Head: TORT LIABILITIES</w:t>
    </w:r>
    <w:r>
      <w:tab/>
    </w:r>
    <w:r>
      <w:tab/>
    </w:r>
    <w:sdt>
      <w:sdtPr>
        <w:id w:val="-2599966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4227D">
          <w:rPr>
            <w:noProof/>
          </w:rPr>
          <w:t>1</w:t>
        </w:r>
        <w:r>
          <w:rPr>
            <w:noProof/>
          </w:rPr>
          <w:fldChar w:fldCharType="end"/>
        </w:r>
      </w:sdtContent>
    </w:sdt>
  </w:p>
  <w:p w:rsidR="00CC7831" w:rsidRDefault="00CC783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23293D"/>
    <w:multiLevelType w:val="hybridMultilevel"/>
    <w:tmpl w:val="96BAFC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C67"/>
    <w:rsid w:val="00037472"/>
    <w:rsid w:val="00094D88"/>
    <w:rsid w:val="000C1B1C"/>
    <w:rsid w:val="00181252"/>
    <w:rsid w:val="0033150E"/>
    <w:rsid w:val="00342A41"/>
    <w:rsid w:val="00513C96"/>
    <w:rsid w:val="00523C67"/>
    <w:rsid w:val="005E6E12"/>
    <w:rsid w:val="006B17E5"/>
    <w:rsid w:val="006E6D27"/>
    <w:rsid w:val="006F5355"/>
    <w:rsid w:val="00793FC3"/>
    <w:rsid w:val="007B4CE0"/>
    <w:rsid w:val="0087618C"/>
    <w:rsid w:val="009245F0"/>
    <w:rsid w:val="00A4227D"/>
    <w:rsid w:val="00AD149C"/>
    <w:rsid w:val="00BD3411"/>
    <w:rsid w:val="00BF326E"/>
    <w:rsid w:val="00CC7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180DD"/>
  <w15:docId w15:val="{0F2BE755-74AA-4FBC-B239-A3A865E7A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C783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A41"/>
    <w:pPr>
      <w:ind w:left="720"/>
      <w:contextualSpacing/>
    </w:pPr>
  </w:style>
  <w:style w:type="paragraph" w:styleId="Header">
    <w:name w:val="header"/>
    <w:basedOn w:val="Normal"/>
    <w:link w:val="HeaderChar"/>
    <w:uiPriority w:val="99"/>
    <w:unhideWhenUsed/>
    <w:rsid w:val="00CC78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831"/>
  </w:style>
  <w:style w:type="paragraph" w:styleId="Footer">
    <w:name w:val="footer"/>
    <w:basedOn w:val="Normal"/>
    <w:link w:val="FooterChar"/>
    <w:uiPriority w:val="99"/>
    <w:unhideWhenUsed/>
    <w:rsid w:val="00CC78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831"/>
  </w:style>
  <w:style w:type="character" w:customStyle="1" w:styleId="Heading1Char">
    <w:name w:val="Heading 1 Char"/>
    <w:basedOn w:val="DefaultParagraphFont"/>
    <w:link w:val="Heading1"/>
    <w:uiPriority w:val="9"/>
    <w:rsid w:val="00CC7831"/>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CC78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7831"/>
    <w:rPr>
      <w:rFonts w:ascii="Tahoma" w:hAnsi="Tahoma" w:cs="Tahoma"/>
      <w:sz w:val="16"/>
      <w:szCs w:val="16"/>
    </w:rPr>
  </w:style>
  <w:style w:type="paragraph" w:styleId="Bibliography">
    <w:name w:val="Bibliography"/>
    <w:basedOn w:val="Normal"/>
    <w:next w:val="Normal"/>
    <w:uiPriority w:val="37"/>
    <w:unhideWhenUsed/>
    <w:rsid w:val="00CC78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Joh15</b:Tag>
    <b:SourceType>InternetSite</b:SourceType>
    <b:Guid>{06CF29BE-6D8E-4F19-B8A4-5C28A9703D7D}</b:Guid>
    <b:Title>What Every Business Owner Needs to Know About Premises Liability</b:Title>
    <b:Year>2015</b:Year>
    <b:InternetSiteTitle>Forbes</b:InternetSiteTitle>
    <b:Month>April</b:Month>
    <b:Day>13</b:Day>
    <b:URL>https://www.forbes.com/sites/theyec/2015/04/13/what-every-business-owner-needs-to-know-about-premises-liability/#2c7019877944</b:URL>
    <b:Author>
      <b:Author>
        <b:NameList>
          <b:Person>
            <b:Last>Johnson</b:Last>
            <b:Middle>C.</b:Middle>
            <b:First>Anthony</b:First>
          </b:Person>
        </b:NameList>
      </b:Author>
    </b:Author>
    <b:YearAccessed>2019</b:YearAccessed>
    <b:MonthAccessed>March</b:MonthAccessed>
    <b:DayAccessed>21</b:DayAccessed>
    <b:RefOrder>2</b:RefOrder>
  </b:Source>
  <b:Source>
    <b:Tag>Gue19</b:Tag>
    <b:SourceType>InternetSite</b:SourceType>
    <b:Guid>{2701A753-BB45-4BC5-8ACA-B14F61C48C25}</b:Guid>
    <b:Title>Protect Your Businss from Liability Claims With Smart Accident Prevention</b:Title>
    <b:InternetSiteTitle>Injury Claim Coach</b:InternetSiteTitle>
    <b:Year>2019</b:Year>
    <b:Month>January</b:Month>
    <b:Day>12</b:Day>
    <b:URL>https://www.injuryclaimcoach.com/avoid-business-liability.html</b:URL>
    <b:Author>
      <b:Author>
        <b:NameList>
          <b:Person>
            <b:Last>Gueli</b:Last>
            <b:Middle>R.</b:Middle>
            <b:First>Charles</b:First>
          </b:Person>
        </b:NameList>
      </b:Author>
    </b:Author>
    <b:RefOrder>1</b:RefOrder>
  </b:Source>
</b:Sources>
</file>

<file path=customXml/itemProps1.xml><?xml version="1.0" encoding="utf-8"?>
<ds:datastoreItem xmlns:ds="http://schemas.openxmlformats.org/officeDocument/2006/customXml" ds:itemID="{8AF0532F-9F66-48CC-930A-81C58D992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3665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2019-04-05T19:26:00Z</dcterms:created>
  <dcterms:modified xsi:type="dcterms:W3CDTF">2019-04-05T19:26:00Z</dcterms:modified>
</cp:coreProperties>
</file>